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6A" w:rsidRDefault="000D046A" w:rsidP="000D046A">
      <w:pPr>
        <w:jc w:val="center"/>
      </w:pPr>
      <w:r>
        <w:rPr>
          <w:b/>
          <w:lang w:val="en-AU" w:eastAsia="zh-TW"/>
        </w:rPr>
        <w:t>K</w:t>
      </w:r>
      <w:r w:rsidRPr="00DB4F10">
        <w:rPr>
          <w:b/>
          <w:lang w:val="en-AU" w:eastAsia="zh-TW"/>
        </w:rPr>
        <w:t xml:space="preserve">ey terms </w:t>
      </w:r>
      <w:r>
        <w:rPr>
          <w:b/>
          <w:lang w:val="en-AU" w:eastAsia="zh-TW"/>
        </w:rPr>
        <w:t xml:space="preserve">of </w:t>
      </w:r>
      <w:r w:rsidRPr="00DB4F10">
        <w:rPr>
          <w:b/>
          <w:lang w:val="en-AU" w:eastAsia="zh-TW"/>
        </w:rPr>
        <w:t>the New Concert Party Agreement</w:t>
      </w:r>
    </w:p>
    <w:p w:rsidR="00BD4388" w:rsidRDefault="00BD4388" w:rsidP="000D046A">
      <w:pPr>
        <w:ind w:firstLine="720"/>
      </w:pPr>
    </w:p>
    <w:tbl>
      <w:tblPr>
        <w:tblStyle w:val="TableGrid"/>
        <w:tblW w:w="0" w:type="auto"/>
        <w:tblLook w:val="04A0" w:firstRow="1" w:lastRow="0" w:firstColumn="1" w:lastColumn="0" w:noHBand="0" w:noVBand="1"/>
      </w:tblPr>
      <w:tblGrid>
        <w:gridCol w:w="2460"/>
        <w:gridCol w:w="5815"/>
      </w:tblGrid>
      <w:tr w:rsidR="000D046A" w:rsidRPr="00DB4F10" w:rsidTr="000D046A">
        <w:tc>
          <w:tcPr>
            <w:tcW w:w="2460" w:type="dxa"/>
          </w:tcPr>
          <w:p w:rsidR="000D046A" w:rsidRPr="00DB4F10" w:rsidRDefault="000D046A" w:rsidP="00BB0BBD">
            <w:pPr>
              <w:pStyle w:val="ABLOCKPARA10"/>
              <w:jc w:val="left"/>
              <w:rPr>
                <w:rFonts w:ascii="Times New Roman" w:hAnsi="Times New Roman"/>
                <w:b/>
                <w:sz w:val="24"/>
                <w:lang w:val="en-AU" w:eastAsia="zh-TW"/>
              </w:rPr>
            </w:pPr>
            <w:r>
              <w:rPr>
                <w:rFonts w:ascii="Times New Roman" w:hAnsi="Times New Roman"/>
                <w:b/>
                <w:sz w:val="24"/>
                <w:lang w:val="en-AU" w:eastAsia="zh-TW"/>
              </w:rPr>
              <w:t>In relation to:</w:t>
            </w:r>
          </w:p>
        </w:tc>
        <w:tc>
          <w:tcPr>
            <w:tcW w:w="5815" w:type="dxa"/>
          </w:tcPr>
          <w:p w:rsidR="000D046A" w:rsidRPr="00DB4F10" w:rsidRDefault="000D046A" w:rsidP="00BB0BBD">
            <w:pPr>
              <w:pStyle w:val="ABLOCKPARA10"/>
              <w:jc w:val="left"/>
              <w:rPr>
                <w:rFonts w:ascii="Times New Roman" w:hAnsi="Times New Roman"/>
                <w:b/>
                <w:sz w:val="24"/>
                <w:lang w:val="en-AU" w:eastAsia="zh-TW"/>
              </w:rPr>
            </w:pPr>
            <w:r w:rsidRPr="00DB4F10">
              <w:rPr>
                <w:rFonts w:ascii="Times New Roman" w:hAnsi="Times New Roman"/>
                <w:b/>
                <w:sz w:val="24"/>
                <w:lang w:val="en-AU" w:eastAsia="zh-TW"/>
              </w:rPr>
              <w:t>New Concert Party Agreement</w:t>
            </w:r>
          </w:p>
        </w:tc>
      </w:tr>
      <w:tr w:rsidR="000D046A" w:rsidTr="000D046A">
        <w:tc>
          <w:tcPr>
            <w:tcW w:w="2460" w:type="dxa"/>
          </w:tcPr>
          <w:p w:rsidR="000D046A" w:rsidRPr="00CD2607" w:rsidRDefault="000D046A" w:rsidP="00BB0BBD">
            <w:pPr>
              <w:pStyle w:val="ABLOCKPARA10"/>
              <w:jc w:val="left"/>
              <w:rPr>
                <w:rFonts w:ascii="Times New Roman" w:hAnsi="Times New Roman"/>
                <w:b/>
                <w:sz w:val="24"/>
                <w:lang w:val="en-AU" w:eastAsia="zh-TW"/>
              </w:rPr>
            </w:pPr>
            <w:r>
              <w:rPr>
                <w:rFonts w:ascii="Times New Roman" w:hAnsi="Times New Roman"/>
                <w:b/>
                <w:sz w:val="24"/>
                <w:lang w:val="en-AU" w:eastAsia="zh-TW"/>
              </w:rPr>
              <w:t>Parties to the agreement</w:t>
            </w:r>
          </w:p>
        </w:tc>
        <w:tc>
          <w:tcPr>
            <w:tcW w:w="5815" w:type="dxa"/>
          </w:tcPr>
          <w:p w:rsidR="000D046A" w:rsidRDefault="000D046A" w:rsidP="000D046A">
            <w:pPr>
              <w:pStyle w:val="ABLOCKPARA10"/>
              <w:numPr>
                <w:ilvl w:val="0"/>
                <w:numId w:val="2"/>
              </w:numPr>
              <w:jc w:val="left"/>
              <w:rPr>
                <w:rFonts w:ascii="Times New Roman" w:hAnsi="Times New Roman"/>
                <w:sz w:val="24"/>
                <w:lang w:val="en-AU" w:eastAsia="zh-CN"/>
              </w:rPr>
            </w:pPr>
            <w:proofErr w:type="spellStart"/>
            <w:r>
              <w:rPr>
                <w:rFonts w:ascii="Times New Roman" w:hAnsi="Times New Roman" w:hint="eastAsia"/>
                <w:sz w:val="24"/>
                <w:lang w:val="en-AU" w:eastAsia="zh-CN"/>
              </w:rPr>
              <w:t>Dr.</w:t>
            </w:r>
            <w:proofErr w:type="spellEnd"/>
            <w:r>
              <w:rPr>
                <w:rFonts w:ascii="Times New Roman" w:hAnsi="Times New Roman" w:hint="eastAsia"/>
                <w:sz w:val="24"/>
                <w:lang w:val="en-AU" w:eastAsia="zh-CN"/>
              </w:rPr>
              <w:t xml:space="preserve"> </w:t>
            </w:r>
            <w:proofErr w:type="spellStart"/>
            <w:r>
              <w:rPr>
                <w:rFonts w:ascii="Times New Roman" w:hAnsi="Times New Roman"/>
                <w:sz w:val="24"/>
                <w:lang w:val="en-AU" w:eastAsia="zh-CN"/>
              </w:rPr>
              <w:t>Che</w:t>
            </w:r>
            <w:proofErr w:type="spellEnd"/>
          </w:p>
          <w:p w:rsidR="000D046A" w:rsidRDefault="000D046A" w:rsidP="000D046A">
            <w:pPr>
              <w:pStyle w:val="ABLOCKPARA10"/>
              <w:numPr>
                <w:ilvl w:val="0"/>
                <w:numId w:val="2"/>
              </w:numPr>
              <w:jc w:val="left"/>
              <w:rPr>
                <w:rFonts w:ascii="Times New Roman" w:hAnsi="Times New Roman"/>
                <w:sz w:val="24"/>
                <w:lang w:val="en-AU" w:eastAsia="zh-CN"/>
              </w:rPr>
            </w:pPr>
            <w:proofErr w:type="spellStart"/>
            <w:r>
              <w:rPr>
                <w:rFonts w:ascii="Times New Roman" w:hAnsi="Times New Roman" w:hint="eastAsia"/>
                <w:sz w:val="24"/>
                <w:lang w:val="en-AU" w:eastAsia="zh-CN"/>
              </w:rPr>
              <w:t>Dr.</w:t>
            </w:r>
            <w:proofErr w:type="spellEnd"/>
            <w:r>
              <w:rPr>
                <w:rFonts w:ascii="Times New Roman" w:hAnsi="Times New Roman" w:hint="eastAsia"/>
                <w:sz w:val="24"/>
                <w:lang w:val="en-AU" w:eastAsia="zh-CN"/>
              </w:rPr>
              <w:t xml:space="preserve"> </w:t>
            </w:r>
            <w:proofErr w:type="spellStart"/>
            <w:r>
              <w:rPr>
                <w:rFonts w:ascii="Times New Roman" w:hAnsi="Times New Roman"/>
                <w:sz w:val="24"/>
                <w:lang w:val="en-AU" w:eastAsia="zh-CN"/>
              </w:rPr>
              <w:t>Guo</w:t>
            </w:r>
            <w:proofErr w:type="spellEnd"/>
          </w:p>
          <w:p w:rsidR="000D046A" w:rsidRDefault="000D046A" w:rsidP="000D046A">
            <w:pPr>
              <w:pStyle w:val="ABLOCKPARA10"/>
              <w:numPr>
                <w:ilvl w:val="0"/>
                <w:numId w:val="2"/>
              </w:numPr>
              <w:jc w:val="left"/>
              <w:rPr>
                <w:rFonts w:ascii="Times New Roman" w:hAnsi="Times New Roman"/>
                <w:sz w:val="24"/>
                <w:lang w:val="en-AU" w:eastAsia="zh-CN"/>
              </w:rPr>
            </w:pPr>
            <w:r>
              <w:rPr>
                <w:rFonts w:ascii="Times New Roman" w:hAnsi="Times New Roman" w:hint="eastAsia"/>
                <w:sz w:val="24"/>
                <w:lang w:val="en-AU" w:eastAsia="zh-CN"/>
              </w:rPr>
              <w:t xml:space="preserve">Mr. </w:t>
            </w:r>
            <w:proofErr w:type="spellStart"/>
            <w:r>
              <w:rPr>
                <w:rFonts w:ascii="Times New Roman" w:hAnsi="Times New Roman"/>
                <w:sz w:val="24"/>
                <w:lang w:val="en-AU" w:eastAsia="zh-CN"/>
              </w:rPr>
              <w:t>Meng</w:t>
            </w:r>
            <w:proofErr w:type="spellEnd"/>
          </w:p>
          <w:p w:rsidR="000D046A" w:rsidRDefault="000D046A" w:rsidP="000D046A">
            <w:pPr>
              <w:pStyle w:val="ABLOCKPARA10"/>
              <w:numPr>
                <w:ilvl w:val="0"/>
                <w:numId w:val="2"/>
              </w:numPr>
              <w:jc w:val="left"/>
              <w:rPr>
                <w:rFonts w:ascii="Times New Roman" w:hAnsi="Times New Roman"/>
                <w:sz w:val="24"/>
                <w:lang w:val="en-AU" w:eastAsia="zh-CN"/>
              </w:rPr>
            </w:pPr>
            <w:proofErr w:type="spellStart"/>
            <w:r>
              <w:rPr>
                <w:rFonts w:ascii="Times New Roman" w:hAnsi="Times New Roman" w:hint="eastAsia"/>
                <w:sz w:val="24"/>
                <w:lang w:val="en-AU" w:eastAsia="zh-CN"/>
              </w:rPr>
              <w:t>Dr.</w:t>
            </w:r>
            <w:proofErr w:type="spellEnd"/>
            <w:r>
              <w:rPr>
                <w:rFonts w:ascii="Times New Roman" w:hAnsi="Times New Roman" w:hint="eastAsia"/>
                <w:sz w:val="24"/>
                <w:lang w:val="en-AU" w:eastAsia="zh-CN"/>
              </w:rPr>
              <w:t xml:space="preserve"> </w:t>
            </w:r>
            <w:r>
              <w:rPr>
                <w:rFonts w:ascii="Times New Roman" w:hAnsi="Times New Roman"/>
                <w:sz w:val="24"/>
                <w:lang w:val="en-AU" w:eastAsia="zh-CN"/>
              </w:rPr>
              <w:t>Zhang</w:t>
            </w:r>
          </w:p>
          <w:p w:rsidR="000D046A" w:rsidRDefault="000D046A" w:rsidP="000D046A">
            <w:pPr>
              <w:pStyle w:val="ABLOCKPARA10"/>
              <w:numPr>
                <w:ilvl w:val="0"/>
                <w:numId w:val="2"/>
              </w:numPr>
              <w:jc w:val="left"/>
              <w:rPr>
                <w:rFonts w:ascii="Times New Roman" w:hAnsi="Times New Roman"/>
                <w:sz w:val="24"/>
                <w:lang w:val="en-AU" w:eastAsia="zh-CN"/>
              </w:rPr>
            </w:pPr>
            <w:r>
              <w:rPr>
                <w:rFonts w:ascii="Times New Roman" w:hAnsi="Times New Roman" w:hint="eastAsia"/>
                <w:sz w:val="24"/>
                <w:lang w:val="en-AU" w:eastAsia="zh-CN"/>
              </w:rPr>
              <w:t>Network Victor</w:t>
            </w:r>
            <w:bookmarkStart w:id="0" w:name="_GoBack"/>
            <w:bookmarkEnd w:id="0"/>
            <w:r>
              <w:rPr>
                <w:rFonts w:ascii="Times New Roman" w:hAnsi="Times New Roman" w:hint="eastAsia"/>
                <w:sz w:val="24"/>
                <w:lang w:val="en-AU" w:eastAsia="zh-CN"/>
              </w:rPr>
              <w:t>y</w:t>
            </w:r>
          </w:p>
          <w:p w:rsidR="000D046A" w:rsidRDefault="000D046A" w:rsidP="000D046A">
            <w:pPr>
              <w:pStyle w:val="ABLOCKPARA10"/>
              <w:numPr>
                <w:ilvl w:val="0"/>
                <w:numId w:val="2"/>
              </w:numPr>
              <w:jc w:val="left"/>
              <w:rPr>
                <w:rFonts w:ascii="Times New Roman" w:hAnsi="Times New Roman"/>
                <w:sz w:val="24"/>
                <w:lang w:val="en-AU" w:eastAsia="zh-CN"/>
              </w:rPr>
            </w:pPr>
            <w:r>
              <w:rPr>
                <w:rFonts w:ascii="Times New Roman" w:hAnsi="Times New Roman"/>
                <w:sz w:val="24"/>
                <w:lang w:val="en-AU" w:eastAsia="zh-CN"/>
              </w:rPr>
              <w:t>Smart Top</w:t>
            </w:r>
          </w:p>
          <w:p w:rsidR="000D046A" w:rsidRDefault="000D046A" w:rsidP="000D046A">
            <w:pPr>
              <w:pStyle w:val="ABLOCKPARA10"/>
              <w:numPr>
                <w:ilvl w:val="0"/>
                <w:numId w:val="2"/>
              </w:numPr>
              <w:jc w:val="left"/>
              <w:rPr>
                <w:rFonts w:ascii="Times New Roman" w:hAnsi="Times New Roman"/>
                <w:sz w:val="24"/>
                <w:lang w:val="en-AU" w:eastAsia="zh-CN"/>
              </w:rPr>
            </w:pPr>
            <w:r>
              <w:rPr>
                <w:rFonts w:ascii="Times New Roman" w:hAnsi="Times New Roman"/>
                <w:sz w:val="24"/>
                <w:lang w:val="en-AU" w:eastAsia="zh-CN"/>
              </w:rPr>
              <w:t>Keen Mate</w:t>
            </w:r>
          </w:p>
          <w:p w:rsidR="000D046A" w:rsidRPr="000D046A" w:rsidRDefault="000D046A" w:rsidP="000D046A">
            <w:pPr>
              <w:pStyle w:val="ABLOCKPARA10"/>
              <w:numPr>
                <w:ilvl w:val="0"/>
                <w:numId w:val="2"/>
              </w:numPr>
              <w:jc w:val="left"/>
              <w:rPr>
                <w:rFonts w:ascii="Times New Roman" w:hAnsi="Times New Roman"/>
                <w:sz w:val="24"/>
                <w:lang w:val="en-AU" w:eastAsia="zh-CN"/>
              </w:rPr>
            </w:pPr>
            <w:r w:rsidRPr="000D046A">
              <w:rPr>
                <w:rFonts w:ascii="Times New Roman" w:hAnsi="Times New Roman"/>
                <w:sz w:val="24"/>
                <w:lang w:val="en-AU" w:eastAsia="zh-CN"/>
              </w:rPr>
              <w:t>Proper Process International Limited</w:t>
            </w:r>
          </w:p>
          <w:p w:rsidR="000D046A" w:rsidRPr="000D046A" w:rsidRDefault="000D046A" w:rsidP="000D046A">
            <w:pPr>
              <w:pStyle w:val="ABLOCKPARA10"/>
              <w:numPr>
                <w:ilvl w:val="0"/>
                <w:numId w:val="2"/>
              </w:numPr>
              <w:jc w:val="left"/>
              <w:rPr>
                <w:rFonts w:ascii="Times New Roman" w:hAnsi="Times New Roman"/>
                <w:sz w:val="24"/>
                <w:lang w:val="en-AU" w:eastAsia="zh-CN"/>
              </w:rPr>
            </w:pPr>
            <w:proofErr w:type="spellStart"/>
            <w:r w:rsidRPr="000D046A">
              <w:rPr>
                <w:rFonts w:ascii="Times New Roman" w:hAnsi="Times New Roman"/>
                <w:sz w:val="24"/>
                <w:lang w:val="en-AU" w:eastAsia="zh-CN"/>
              </w:rPr>
              <w:t>Successmax</w:t>
            </w:r>
            <w:proofErr w:type="spellEnd"/>
            <w:r w:rsidRPr="000D046A">
              <w:rPr>
                <w:rFonts w:ascii="Times New Roman" w:hAnsi="Times New Roman"/>
                <w:sz w:val="24"/>
                <w:lang w:val="en-AU" w:eastAsia="zh-CN"/>
              </w:rPr>
              <w:t xml:space="preserve"> Global Holdings Limited</w:t>
            </w:r>
          </w:p>
          <w:p w:rsidR="000D046A" w:rsidRPr="000D046A" w:rsidRDefault="000D046A" w:rsidP="000D046A">
            <w:pPr>
              <w:pStyle w:val="ABLOCKPARA10"/>
              <w:numPr>
                <w:ilvl w:val="0"/>
                <w:numId w:val="2"/>
              </w:numPr>
              <w:jc w:val="left"/>
              <w:rPr>
                <w:rFonts w:ascii="Times New Roman" w:hAnsi="Times New Roman"/>
                <w:sz w:val="24"/>
                <w:lang w:val="en-AU" w:eastAsia="zh-CN"/>
              </w:rPr>
            </w:pPr>
            <w:r w:rsidRPr="000D046A">
              <w:rPr>
                <w:rFonts w:ascii="Times New Roman" w:hAnsi="Times New Roman"/>
                <w:sz w:val="24"/>
                <w:lang w:val="en-AU" w:eastAsia="zh-CN"/>
              </w:rPr>
              <w:t>Victory Faith International Limited</w:t>
            </w:r>
          </w:p>
          <w:p w:rsidR="000D046A" w:rsidRDefault="000D046A" w:rsidP="000D046A">
            <w:pPr>
              <w:pStyle w:val="ABLOCKPARA10"/>
              <w:numPr>
                <w:ilvl w:val="0"/>
                <w:numId w:val="2"/>
              </w:numPr>
              <w:jc w:val="left"/>
              <w:rPr>
                <w:rFonts w:ascii="Times New Roman" w:hAnsi="Times New Roman"/>
                <w:sz w:val="24"/>
                <w:lang w:val="en-AU" w:eastAsia="zh-CN"/>
              </w:rPr>
            </w:pPr>
            <w:proofErr w:type="spellStart"/>
            <w:r w:rsidRPr="000D046A">
              <w:rPr>
                <w:rFonts w:ascii="Times New Roman" w:hAnsi="Times New Roman"/>
                <w:sz w:val="24"/>
                <w:lang w:val="en-AU" w:eastAsia="zh-CN"/>
              </w:rPr>
              <w:t>Mingyao</w:t>
            </w:r>
            <w:proofErr w:type="spellEnd"/>
            <w:r w:rsidRPr="000D046A">
              <w:rPr>
                <w:rFonts w:ascii="Times New Roman" w:hAnsi="Times New Roman"/>
                <w:sz w:val="24"/>
                <w:lang w:val="en-AU" w:eastAsia="zh-CN"/>
              </w:rPr>
              <w:t xml:space="preserve"> Capital Limited</w:t>
            </w:r>
          </w:p>
          <w:p w:rsidR="000D046A" w:rsidRPr="00CD2607" w:rsidRDefault="000D046A" w:rsidP="00BB0BBD">
            <w:pPr>
              <w:pStyle w:val="ABLOCKPARA10"/>
              <w:jc w:val="left"/>
              <w:rPr>
                <w:rFonts w:ascii="Times New Roman" w:hAnsi="Times New Roman"/>
                <w:sz w:val="24"/>
                <w:lang w:val="en-AU" w:eastAsia="zh-CN"/>
              </w:rPr>
            </w:pPr>
          </w:p>
        </w:tc>
      </w:tr>
      <w:tr w:rsidR="000D046A" w:rsidTr="000D046A">
        <w:tc>
          <w:tcPr>
            <w:tcW w:w="2460" w:type="dxa"/>
          </w:tcPr>
          <w:p w:rsidR="000D046A" w:rsidRPr="00CD2607" w:rsidRDefault="000D046A" w:rsidP="00BB0BBD">
            <w:pPr>
              <w:pStyle w:val="ABLOCKPARA10"/>
              <w:jc w:val="left"/>
              <w:rPr>
                <w:rFonts w:ascii="Times New Roman" w:hAnsi="Times New Roman"/>
                <w:b/>
                <w:sz w:val="24"/>
                <w:lang w:val="en-AU" w:eastAsia="zh-TW"/>
              </w:rPr>
            </w:pPr>
            <w:r w:rsidRPr="00CD2607">
              <w:rPr>
                <w:rFonts w:ascii="Times New Roman" w:hAnsi="Times New Roman"/>
                <w:b/>
                <w:sz w:val="24"/>
                <w:lang w:val="en-AU" w:eastAsia="zh-TW"/>
              </w:rPr>
              <w:t>Disposal of Shares</w:t>
            </w:r>
          </w:p>
        </w:tc>
        <w:tc>
          <w:tcPr>
            <w:tcW w:w="5815" w:type="dxa"/>
          </w:tcPr>
          <w:p w:rsidR="000D046A" w:rsidRDefault="000D046A" w:rsidP="00BB0BBD">
            <w:pPr>
              <w:pStyle w:val="ABLOCKPARA10"/>
              <w:jc w:val="left"/>
              <w:rPr>
                <w:rFonts w:ascii="Times New Roman" w:hAnsi="Times New Roman"/>
                <w:sz w:val="24"/>
                <w:lang w:val="en-AU" w:eastAsia="zh-CN"/>
              </w:rPr>
            </w:pPr>
            <w:r>
              <w:rPr>
                <w:rFonts w:ascii="Times New Roman" w:hAnsi="Times New Roman"/>
                <w:sz w:val="24"/>
                <w:lang w:val="en-AU" w:eastAsia="zh-CN"/>
              </w:rPr>
              <w:t>If any party intends to sell Shares subject to the New Concert Party Agreement, such party shall notify the other parties in writing. Save for the exemptions provided for in the New Concert Party Agreement, each party shall not, and shall procure their respective investment holding companies not to, dispose of, or otherwise charge, pledge, or create any encumbrances over the Shares subject to the New Concert Party Agreement, without the prior written consent of the other parties.</w:t>
            </w:r>
          </w:p>
          <w:p w:rsidR="000D046A" w:rsidRPr="00DB4F10" w:rsidRDefault="000D046A" w:rsidP="00BB0BBD">
            <w:pPr>
              <w:pStyle w:val="ABLOCKPARA10"/>
              <w:jc w:val="left"/>
              <w:rPr>
                <w:rFonts w:ascii="Times New Roman" w:hAnsi="Times New Roman"/>
                <w:sz w:val="24"/>
                <w:lang w:val="en-AU" w:eastAsia="zh-CN"/>
              </w:rPr>
            </w:pPr>
          </w:p>
        </w:tc>
      </w:tr>
      <w:tr w:rsidR="000D046A" w:rsidTr="000D046A">
        <w:tc>
          <w:tcPr>
            <w:tcW w:w="2460" w:type="dxa"/>
          </w:tcPr>
          <w:p w:rsidR="000D046A" w:rsidRPr="00CD2607" w:rsidRDefault="000D046A" w:rsidP="00BB0BBD">
            <w:pPr>
              <w:pStyle w:val="ABLOCKPARA10"/>
              <w:jc w:val="left"/>
              <w:rPr>
                <w:rFonts w:ascii="Times New Roman" w:hAnsi="Times New Roman"/>
                <w:b/>
                <w:sz w:val="24"/>
                <w:lang w:val="en-AU" w:eastAsia="zh-CN"/>
              </w:rPr>
            </w:pPr>
            <w:r>
              <w:rPr>
                <w:rFonts w:ascii="Times New Roman" w:hAnsi="Times New Roman"/>
                <w:b/>
                <w:sz w:val="24"/>
                <w:lang w:val="en-AU" w:eastAsia="zh-CN"/>
              </w:rPr>
              <w:t>Pre</w:t>
            </w:r>
            <w:r w:rsidRPr="00CD2607">
              <w:rPr>
                <w:rFonts w:ascii="Times New Roman" w:hAnsi="Times New Roman"/>
                <w:b/>
                <w:sz w:val="24"/>
                <w:lang w:val="en-AU" w:eastAsia="zh-CN"/>
              </w:rPr>
              <w:t>-emptive rights</w:t>
            </w:r>
          </w:p>
        </w:tc>
        <w:tc>
          <w:tcPr>
            <w:tcW w:w="5815" w:type="dxa"/>
          </w:tcPr>
          <w:p w:rsidR="000D046A" w:rsidRDefault="000D046A" w:rsidP="00BB0BBD">
            <w:pPr>
              <w:pStyle w:val="ABLOCKPARA10"/>
              <w:jc w:val="left"/>
              <w:rPr>
                <w:rFonts w:ascii="Times New Roman" w:hAnsi="Times New Roman"/>
                <w:sz w:val="24"/>
                <w:lang w:val="en-AU" w:eastAsia="zh-CN"/>
              </w:rPr>
            </w:pPr>
            <w:r>
              <w:rPr>
                <w:rFonts w:ascii="Times New Roman" w:hAnsi="Times New Roman"/>
                <w:sz w:val="24"/>
                <w:lang w:val="en-AU" w:eastAsia="zh-CN"/>
              </w:rPr>
              <w:t xml:space="preserve">Each other party may, if he thinks fit, provide an offer to the party intending to sell to, for example, purchase all or part of the Shares intending to be sold, or tag-along the party intending to sell, to sell his Shares. </w:t>
            </w:r>
          </w:p>
          <w:p w:rsidR="000D046A" w:rsidRPr="00DB4F10" w:rsidRDefault="000D046A" w:rsidP="00BB0BBD">
            <w:pPr>
              <w:pStyle w:val="ABLOCKPARA10"/>
              <w:jc w:val="left"/>
              <w:rPr>
                <w:rFonts w:ascii="Times New Roman" w:hAnsi="Times New Roman"/>
                <w:sz w:val="24"/>
                <w:lang w:val="en-AU" w:eastAsia="zh-CN"/>
              </w:rPr>
            </w:pPr>
          </w:p>
        </w:tc>
      </w:tr>
      <w:tr w:rsidR="000D046A" w:rsidTr="000D046A">
        <w:tc>
          <w:tcPr>
            <w:tcW w:w="2460" w:type="dxa"/>
          </w:tcPr>
          <w:p w:rsidR="000D046A" w:rsidRPr="00C852DF" w:rsidRDefault="000D046A" w:rsidP="00BB0BBD">
            <w:pPr>
              <w:pStyle w:val="ABLOCKPARA10"/>
              <w:jc w:val="left"/>
              <w:rPr>
                <w:rFonts w:ascii="Times New Roman" w:hAnsi="Times New Roman"/>
                <w:b/>
                <w:sz w:val="24"/>
                <w:lang w:val="en-AU" w:eastAsia="zh-CN"/>
              </w:rPr>
            </w:pPr>
            <w:r w:rsidRPr="00C852DF">
              <w:rPr>
                <w:rFonts w:ascii="Times New Roman" w:hAnsi="Times New Roman"/>
                <w:b/>
                <w:sz w:val="24"/>
                <w:lang w:val="en-AU" w:eastAsia="zh-CN"/>
              </w:rPr>
              <w:t>Charge of shares</w:t>
            </w:r>
          </w:p>
        </w:tc>
        <w:tc>
          <w:tcPr>
            <w:tcW w:w="5815" w:type="dxa"/>
          </w:tcPr>
          <w:p w:rsidR="000D046A" w:rsidRDefault="000D046A" w:rsidP="00BB0BBD">
            <w:pPr>
              <w:pStyle w:val="ABLOCKPARA10"/>
              <w:jc w:val="left"/>
              <w:rPr>
                <w:rFonts w:ascii="Times New Roman" w:hAnsi="Times New Roman"/>
                <w:sz w:val="24"/>
                <w:lang w:val="en-AU" w:eastAsia="zh-CN"/>
              </w:rPr>
            </w:pPr>
            <w:r>
              <w:rPr>
                <w:rFonts w:ascii="Times New Roman" w:hAnsi="Times New Roman"/>
                <w:sz w:val="24"/>
                <w:lang w:val="en-AU" w:eastAsia="zh-CN"/>
              </w:rPr>
              <w:t>Each party shall have the right to charge or pledge his Shares to recognized banking institutions to obtain a bona fide commercial loan, provided that the loan amount shall not exceed 40% of the value of the Shares.</w:t>
            </w:r>
          </w:p>
          <w:p w:rsidR="000D046A" w:rsidRPr="00DB4F10" w:rsidRDefault="000D046A" w:rsidP="00BB0BBD">
            <w:pPr>
              <w:pStyle w:val="ABLOCKPARA10"/>
              <w:jc w:val="left"/>
              <w:rPr>
                <w:rFonts w:ascii="Times New Roman" w:hAnsi="Times New Roman"/>
                <w:sz w:val="24"/>
                <w:lang w:val="en-AU" w:eastAsia="zh-CN"/>
              </w:rPr>
            </w:pPr>
          </w:p>
        </w:tc>
      </w:tr>
      <w:tr w:rsidR="000D046A" w:rsidTr="000D046A">
        <w:tc>
          <w:tcPr>
            <w:tcW w:w="2460" w:type="dxa"/>
          </w:tcPr>
          <w:p w:rsidR="000D046A" w:rsidRPr="008B1A37" w:rsidRDefault="000D046A" w:rsidP="00BB0BBD">
            <w:pPr>
              <w:pStyle w:val="ABLOCKPARA10"/>
              <w:jc w:val="left"/>
              <w:rPr>
                <w:rFonts w:ascii="Times New Roman" w:hAnsi="Times New Roman"/>
                <w:b/>
                <w:sz w:val="24"/>
                <w:lang w:val="en-AU" w:eastAsia="zh-CN"/>
              </w:rPr>
            </w:pPr>
            <w:r>
              <w:rPr>
                <w:rFonts w:ascii="Times New Roman" w:hAnsi="Times New Roman"/>
                <w:b/>
                <w:sz w:val="24"/>
                <w:lang w:val="en-AU" w:eastAsia="zh-CN"/>
              </w:rPr>
              <w:t>Exercise of voting rights attached to the Shares</w:t>
            </w:r>
          </w:p>
        </w:tc>
        <w:tc>
          <w:tcPr>
            <w:tcW w:w="5815" w:type="dxa"/>
          </w:tcPr>
          <w:p w:rsidR="000D046A" w:rsidRDefault="000D046A" w:rsidP="00BB0BBD">
            <w:pPr>
              <w:pStyle w:val="ABLOCKPARA10"/>
              <w:jc w:val="left"/>
              <w:rPr>
                <w:rFonts w:ascii="Times New Roman" w:hAnsi="Times New Roman"/>
                <w:sz w:val="24"/>
                <w:lang w:val="en-AU" w:eastAsia="zh-CN"/>
              </w:rPr>
            </w:pPr>
            <w:r>
              <w:rPr>
                <w:rFonts w:ascii="Times New Roman" w:hAnsi="Times New Roman"/>
                <w:sz w:val="24"/>
                <w:lang w:val="en-AU" w:eastAsia="zh-CN"/>
              </w:rPr>
              <w:t>The parties agree to exercise the voting rights attached to the Shares at any general meeting of the Company unanimously.</w:t>
            </w:r>
          </w:p>
          <w:p w:rsidR="000D046A" w:rsidRPr="00DB4F10" w:rsidRDefault="000D046A" w:rsidP="00BB0BBD">
            <w:pPr>
              <w:pStyle w:val="ABLOCKPARA10"/>
              <w:jc w:val="left"/>
              <w:rPr>
                <w:rFonts w:ascii="Times New Roman" w:hAnsi="Times New Roman"/>
                <w:sz w:val="24"/>
                <w:lang w:val="en-AU" w:eastAsia="zh-CN"/>
              </w:rPr>
            </w:pPr>
          </w:p>
        </w:tc>
      </w:tr>
    </w:tbl>
    <w:p w:rsidR="000D046A" w:rsidRPr="000D046A" w:rsidRDefault="000D046A" w:rsidP="000D046A">
      <w:pPr>
        <w:ind w:firstLine="720"/>
      </w:pPr>
    </w:p>
    <w:sectPr w:rsidR="000D046A" w:rsidRPr="000D046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A88"/>
    <w:multiLevelType w:val="singleLevel"/>
    <w:tmpl w:val="D3C8320E"/>
    <w:lvl w:ilvl="0">
      <w:start w:val="1"/>
      <w:numFmt w:val="decimal"/>
      <w:lvlText w:val="%1"/>
      <w:lvlJc w:val="left"/>
      <w:pPr>
        <w:tabs>
          <w:tab w:val="num" w:pos="737"/>
        </w:tabs>
        <w:ind w:left="737" w:hanging="737"/>
      </w:pPr>
    </w:lvl>
  </w:abstractNum>
  <w:abstractNum w:abstractNumId="1" w15:restartNumberingAfterBreak="0">
    <w:nsid w:val="646E1794"/>
    <w:multiLevelType w:val="singleLevel"/>
    <w:tmpl w:val="D3C8320E"/>
    <w:lvl w:ilvl="0">
      <w:start w:val="1"/>
      <w:numFmt w:val="decimal"/>
      <w:lvlText w:val="%1"/>
      <w:lvlJc w:val="left"/>
      <w:pPr>
        <w:tabs>
          <w:tab w:val="num" w:pos="737"/>
        </w:tabs>
        <w:ind w:left="737" w:hanging="73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6A"/>
    <w:rsid w:val="00054A5A"/>
    <w:rsid w:val="000D046A"/>
    <w:rsid w:val="006735C1"/>
    <w:rsid w:val="00A20540"/>
    <w:rsid w:val="00BD4388"/>
    <w:rsid w:val="00FD701F"/>
  </w:rsids>
  <m:mathPr>
    <m:mathFont m:val="Cambria Math"/>
    <m:brkBin m:val="before"/>
    <m:brkBinSub m:val="--"/>
    <m:smallFrac m:val="0"/>
    <m:dispDef/>
    <m:lMargin m:val="0"/>
    <m:rMargin m:val="0"/>
    <m:defJc m:val="centerGroup"/>
    <m:wrapIndent m:val="1440"/>
    <m:intLim m:val="subSup"/>
    <m:naryLim m:val="undOvr"/>
  </m:mathPr>
  <w:themeFontLang w:val="en-A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28257-C447-46B2-9BDF-0A7FA0BE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6A"/>
    <w:pPr>
      <w:spacing w:after="0" w:line="240" w:lineRule="auto"/>
    </w:pPr>
    <w:rPr>
      <w:rFonts w:ascii="Times New Roman" w:eastAsia="新細明體"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10">
    <w:name w:val="A BLOCK PARA 10"/>
    <w:basedOn w:val="Normal"/>
    <w:rsid w:val="000D046A"/>
    <w:pPr>
      <w:overflowPunct w:val="0"/>
      <w:autoSpaceDE w:val="0"/>
      <w:autoSpaceDN w:val="0"/>
      <w:adjustRightInd w:val="0"/>
      <w:jc w:val="both"/>
      <w:textAlignment w:val="baseline"/>
    </w:pPr>
    <w:rPr>
      <w:rFonts w:ascii="Book Antiqua" w:hAnsi="Book Antiqua"/>
      <w:sz w:val="20"/>
    </w:rPr>
  </w:style>
  <w:style w:type="table" w:styleId="TableGrid">
    <w:name w:val="Table Grid"/>
    <w:basedOn w:val="TableNormal"/>
    <w:uiPriority w:val="39"/>
    <w:rsid w:val="000D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897</Characters>
  <Application>Microsoft Office Word</Application>
  <DocSecurity>0</DocSecurity>
  <Lines>99</Lines>
  <Paragraphs>67</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KWM</cp:lastModifiedBy>
  <cp:revision>1</cp:revision>
  <dcterms:created xsi:type="dcterms:W3CDTF">2018-06-08T14:30:00Z</dcterms:created>
  <dcterms:modified xsi:type="dcterms:W3CDTF">2018-06-08T14:34:00Z</dcterms:modified>
</cp:coreProperties>
</file>